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0"/>
        <w:rPr>
          <w:rFonts w:hint="eastAsia" w:ascii="仿宋" w:hAnsi="仿宋" w:eastAsia="仿宋" w:cs="仿宋"/>
          <w:b w:val="0"/>
          <w:bCs w:val="0"/>
          <w:snapToGrid w:val="0"/>
          <w:color w:val="auto"/>
          <w:kern w:val="0"/>
          <w:sz w:val="48"/>
          <w:szCs w:val="48"/>
          <w:highlight w:val="none"/>
          <w:lang w:val="en-US" w:eastAsia="zh-CN"/>
        </w:rPr>
      </w:pPr>
      <w:r>
        <w:rPr>
          <w:rFonts w:hint="eastAsia" w:ascii="仿宋" w:hAnsi="仿宋" w:eastAsia="仿宋" w:cs="仿宋"/>
          <w:b w:val="0"/>
          <w:bCs w:val="0"/>
          <w:spacing w:val="-3"/>
          <w:sz w:val="48"/>
          <w:szCs w:val="48"/>
          <w:highlight w:val="none"/>
          <w:lang w:eastAsia="zh-Hans"/>
        </w:rPr>
        <w:t>供应商</w:t>
      </w:r>
      <w:r>
        <w:rPr>
          <w:rFonts w:hint="eastAsia" w:ascii="仿宋" w:hAnsi="仿宋" w:eastAsia="仿宋" w:cs="仿宋"/>
          <w:b w:val="0"/>
          <w:bCs w:val="0"/>
          <w:spacing w:val="-3"/>
          <w:sz w:val="48"/>
          <w:szCs w:val="48"/>
          <w:highlight w:val="none"/>
          <w:lang w:val="en-US" w:eastAsia="zh-CN"/>
        </w:rPr>
        <w:t>入库</w:t>
      </w:r>
      <w:r>
        <w:rPr>
          <w:rFonts w:hint="eastAsia" w:ascii="仿宋" w:hAnsi="仿宋" w:eastAsia="仿宋" w:cs="仿宋"/>
          <w:b w:val="0"/>
          <w:bCs w:val="0"/>
          <w:spacing w:val="-3"/>
          <w:sz w:val="48"/>
          <w:szCs w:val="48"/>
          <w:highlight w:val="none"/>
          <w:lang w:val="en-US" w:eastAsia="zh-Hans"/>
        </w:rPr>
        <w:t>申请</w:t>
      </w:r>
      <w:r>
        <w:rPr>
          <w:rFonts w:hint="eastAsia" w:ascii="仿宋" w:hAnsi="仿宋" w:eastAsia="仿宋" w:cs="仿宋"/>
          <w:b w:val="0"/>
          <w:bCs w:val="0"/>
          <w:spacing w:val="-3"/>
          <w:sz w:val="48"/>
          <w:szCs w:val="48"/>
          <w:highlight w:val="none"/>
          <w:lang w:eastAsia="zh-Hans"/>
        </w:rPr>
        <w:t>表</w:t>
      </w:r>
    </w:p>
    <w:tbl>
      <w:tblPr>
        <w:tblStyle w:val="6"/>
        <w:tblpPr w:leftFromText="180" w:rightFromText="180" w:vertAnchor="text" w:horzAnchor="page" w:tblpX="1461" w:tblpY="443"/>
        <w:tblOverlap w:val="never"/>
        <w:tblW w:w="89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7"/>
        <w:gridCol w:w="2046"/>
        <w:gridCol w:w="1798"/>
        <w:gridCol w:w="1667"/>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67" w:type="dxa"/>
            <w:tcBorders>
              <w:tl2br w:val="nil"/>
              <w:tr2bl w:val="nil"/>
            </w:tcBorders>
            <w:noWrap/>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4"/>
                <w:szCs w:val="24"/>
              </w:rPr>
            </w:pPr>
            <w:r>
              <w:rPr>
                <w:rFonts w:hint="eastAsia" w:ascii="仿宋" w:hAnsi="仿宋" w:eastAsia="仿宋" w:cs="仿宋"/>
                <w:b/>
                <w:bCs/>
                <w:spacing w:val="0"/>
                <w:sz w:val="24"/>
                <w:szCs w:val="24"/>
                <w:lang w:eastAsia="zh-CN"/>
              </w:rPr>
              <w:t>供应商</w:t>
            </w:r>
            <w:r>
              <w:rPr>
                <w:rFonts w:hint="eastAsia" w:ascii="仿宋" w:hAnsi="仿宋" w:eastAsia="仿宋" w:cs="仿宋"/>
                <w:b/>
                <w:bCs/>
                <w:spacing w:val="0"/>
                <w:sz w:val="24"/>
                <w:szCs w:val="24"/>
                <w:lang w:val="en-US" w:eastAsia="zh-CN"/>
              </w:rPr>
              <w:t>入库申请</w:t>
            </w:r>
            <w:r>
              <w:rPr>
                <w:rFonts w:hint="eastAsia" w:ascii="仿宋" w:hAnsi="仿宋" w:eastAsia="仿宋" w:cs="仿宋"/>
                <w:b/>
                <w:bCs/>
                <w:spacing w:val="0"/>
                <w:sz w:val="24"/>
                <w:szCs w:val="24"/>
                <w:lang w:eastAsia="zh-CN"/>
              </w:rPr>
              <w:t>表</w:t>
            </w:r>
            <w:r>
              <w:rPr>
                <w:rFonts w:hint="eastAsia" w:ascii="仿宋" w:hAnsi="仿宋" w:eastAsia="仿宋" w:cs="仿宋"/>
                <w:kern w:val="2"/>
                <w:sz w:val="24"/>
                <w:szCs w:val="24"/>
                <w:lang w:val="en-US" w:eastAsia="zh-CN" w:bidi="ar"/>
              </w:rPr>
              <w:t xml:space="preserve">供应商  </w:t>
            </w:r>
            <w:r>
              <w:rPr>
                <w:rFonts w:hint="eastAsia" w:ascii="仿宋" w:hAnsi="仿宋" w:eastAsia="仿宋" w:cs="仿宋"/>
                <w:kern w:val="2"/>
                <w:sz w:val="24"/>
                <w:szCs w:val="24"/>
                <w:lang w:bidi="ar"/>
              </w:rPr>
              <w:t>类别</w:t>
            </w:r>
          </w:p>
        </w:tc>
        <w:tc>
          <w:tcPr>
            <w:tcW w:w="7785" w:type="dxa"/>
            <w:gridSpan w:val="4"/>
            <w:tcBorders>
              <w:tl2br w:val="nil"/>
              <w:tr2bl w:val="nil"/>
            </w:tcBorders>
            <w:noWrap/>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
              </w:rPr>
              <w:t>（一）工程类：</w:t>
            </w: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 xml:space="preserve">装饰装修    </w:t>
            </w: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 xml:space="preserve">简易维修    </w:t>
            </w: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 xml:space="preserve">零星修缮   </w:t>
            </w: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其它</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u w:val="none"/>
                <w:lang w:val="en-US" w:eastAsia="zh-CN" w:bidi="ar"/>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kern w:val="2"/>
                <w:sz w:val="24"/>
                <w:szCs w:val="24"/>
                <w:lang w:val="en-US" w:eastAsia="zh-CN" w:bidi="ar"/>
              </w:rPr>
            </w:pPr>
            <w:r>
              <w:rPr>
                <w:rFonts w:hint="eastAsia" w:ascii="仿宋" w:hAnsi="仿宋" w:eastAsia="仿宋" w:cs="仿宋"/>
                <w:sz w:val="24"/>
                <w:szCs w:val="24"/>
                <w:lang w:val="en-US" w:eastAsia="zh-CN"/>
              </w:rPr>
              <w:t>（二）物资类：</w:t>
            </w: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 xml:space="preserve">给排水设备 </w:t>
            </w: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 xml:space="preserve">供配电设备 </w:t>
            </w: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 xml:space="preserve">暖通设备 </w:t>
            </w: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 xml:space="preserve">节能设备  </w:t>
            </w:r>
          </w:p>
          <w:p>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u w:val="none"/>
                <w:lang w:val="en-US" w:eastAsia="zh-CN"/>
              </w:rPr>
            </w:pP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 xml:space="preserve">智能化系统  </w:t>
            </w: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 xml:space="preserve">办公用品   </w:t>
            </w: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 xml:space="preserve">宣传物料   </w:t>
            </w: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 xml:space="preserve">五金及配件   </w:t>
            </w: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 xml:space="preserve">清洁及劳保用品  </w:t>
            </w:r>
            <w:r>
              <w:rPr>
                <w:rFonts w:hint="eastAsia" w:ascii="仿宋" w:hAnsi="仿宋" w:eastAsia="仿宋" w:cs="仿宋"/>
                <w:kern w:val="2"/>
                <w:sz w:val="24"/>
                <w:szCs w:val="24"/>
                <w:lang w:eastAsia="zh-CN" w:bidi="ar"/>
              </w:rPr>
              <w:sym w:font="Wingdings 2" w:char="00A3"/>
            </w:r>
            <w:r>
              <w:rPr>
                <w:rFonts w:hint="eastAsia" w:ascii="仿宋" w:hAnsi="仿宋" w:eastAsia="仿宋" w:cs="仿宋"/>
                <w:kern w:val="2"/>
                <w:sz w:val="24"/>
                <w:szCs w:val="24"/>
                <w:lang w:val="en-US" w:eastAsia="zh-CN" w:bidi="ar"/>
              </w:rPr>
              <w:t xml:space="preserve">维修材料  </w:t>
            </w:r>
            <w:r>
              <w:rPr>
                <w:rFonts w:hint="eastAsia" w:ascii="仿宋" w:hAnsi="仿宋" w:eastAsia="仿宋" w:cs="仿宋"/>
                <w:kern w:val="2"/>
                <w:sz w:val="24"/>
                <w:szCs w:val="24"/>
                <w:lang w:eastAsia="zh-CN" w:bidi="ar"/>
              </w:rPr>
              <w:sym w:font="Wingdings 2" w:char="00A3"/>
            </w:r>
            <w:r>
              <w:rPr>
                <w:rFonts w:hint="eastAsia" w:ascii="仿宋" w:hAnsi="仿宋" w:eastAsia="仿宋" w:cs="仿宋"/>
                <w:kern w:val="2"/>
                <w:sz w:val="24"/>
                <w:szCs w:val="24"/>
                <w:lang w:val="en-US" w:eastAsia="zh-CN" w:bidi="ar"/>
              </w:rPr>
              <w:t>其它</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u w:val="none"/>
                <w:lang w:val="en-US" w:eastAsia="zh-CN" w:bidi="ar"/>
              </w:rPr>
              <w:t xml:space="preserve">  </w:t>
            </w:r>
          </w:p>
          <w:p>
            <w:pPr>
              <w:widowControl/>
              <w:spacing w:line="360" w:lineRule="auto"/>
              <w:jc w:val="lef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（三）服务类：</w:t>
            </w: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 xml:space="preserve">设计或营销  </w:t>
            </w: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 xml:space="preserve">绿化服务 </w:t>
            </w: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 xml:space="preserve">清洁、消杀、养护  </w:t>
            </w: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 xml:space="preserve">工程维保 </w:t>
            </w:r>
            <w:r>
              <w:rPr>
                <w:rFonts w:hint="eastAsia" w:ascii="仿宋" w:hAnsi="仿宋" w:eastAsia="仿宋" w:cs="仿宋"/>
                <w:kern w:val="2"/>
                <w:sz w:val="24"/>
                <w:szCs w:val="24"/>
                <w:lang w:eastAsia="zh-CN" w:bidi="ar"/>
              </w:rPr>
              <w:t>□</w:t>
            </w:r>
            <w:r>
              <w:rPr>
                <w:rFonts w:hint="eastAsia" w:ascii="仿宋" w:hAnsi="仿宋" w:eastAsia="仿宋" w:cs="仿宋"/>
                <w:kern w:val="2"/>
                <w:sz w:val="24"/>
                <w:szCs w:val="24"/>
                <w:lang w:val="en-US" w:eastAsia="zh-CN" w:bidi="ar"/>
              </w:rPr>
              <w:t>其它</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167" w:type="dxa"/>
            <w:vMerge w:val="restart"/>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lang w:bidi="ar"/>
              </w:rPr>
              <w:t>基本信息</w:t>
            </w:r>
          </w:p>
        </w:tc>
        <w:tc>
          <w:tcPr>
            <w:tcW w:w="2046"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lang w:bidi="ar"/>
              </w:rPr>
              <w:t>公司名称</w:t>
            </w:r>
          </w:p>
        </w:tc>
        <w:tc>
          <w:tcPr>
            <w:tcW w:w="5739" w:type="dxa"/>
            <w:gridSpan w:val="3"/>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167"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c>
          <w:tcPr>
            <w:tcW w:w="2046"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lang w:bidi="ar"/>
              </w:rPr>
              <w:t>经营范围</w:t>
            </w:r>
          </w:p>
        </w:tc>
        <w:tc>
          <w:tcPr>
            <w:tcW w:w="5739" w:type="dxa"/>
            <w:gridSpan w:val="3"/>
            <w:tcBorders>
              <w:tl2br w:val="nil"/>
              <w:tr2bl w:val="nil"/>
            </w:tcBorders>
            <w:noWrap w:val="0"/>
            <w:tcMar>
              <w:top w:w="15" w:type="dxa"/>
              <w:left w:w="15" w:type="dxa"/>
              <w:right w:w="15" w:type="dxa"/>
            </w:tcMar>
            <w:vAlign w:val="center"/>
          </w:tcPr>
          <w:p>
            <w:pPr>
              <w:pStyle w:val="3"/>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67"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c>
          <w:tcPr>
            <w:tcW w:w="2046"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lang w:bidi="ar"/>
              </w:rPr>
              <w:t>注册资金</w:t>
            </w:r>
          </w:p>
        </w:tc>
        <w:tc>
          <w:tcPr>
            <w:tcW w:w="1798"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c>
          <w:tcPr>
            <w:tcW w:w="1667"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lang w:bidi="ar"/>
              </w:rPr>
              <w:t>企业性质</w:t>
            </w:r>
          </w:p>
        </w:tc>
        <w:tc>
          <w:tcPr>
            <w:tcW w:w="2274"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67"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c>
          <w:tcPr>
            <w:tcW w:w="2046"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lang w:bidi="ar"/>
              </w:rPr>
              <w:t>成立日期</w:t>
            </w:r>
          </w:p>
        </w:tc>
        <w:tc>
          <w:tcPr>
            <w:tcW w:w="1798"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c>
          <w:tcPr>
            <w:tcW w:w="1667"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与我司（集团）合作年限</w:t>
            </w:r>
          </w:p>
        </w:tc>
        <w:tc>
          <w:tcPr>
            <w:tcW w:w="2274"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67"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c>
          <w:tcPr>
            <w:tcW w:w="2046"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lang w:bidi="ar"/>
              </w:rPr>
              <w:t>业务联络人</w:t>
            </w:r>
          </w:p>
        </w:tc>
        <w:tc>
          <w:tcPr>
            <w:tcW w:w="1798"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c>
          <w:tcPr>
            <w:tcW w:w="1667"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lang w:bidi="ar"/>
              </w:rPr>
              <w:t>职务</w:t>
            </w:r>
          </w:p>
        </w:tc>
        <w:tc>
          <w:tcPr>
            <w:tcW w:w="2274"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67"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c>
          <w:tcPr>
            <w:tcW w:w="2046"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lang w:bidi="ar"/>
              </w:rPr>
              <w:t>联系方式</w:t>
            </w:r>
          </w:p>
        </w:tc>
        <w:tc>
          <w:tcPr>
            <w:tcW w:w="1798"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c>
          <w:tcPr>
            <w:tcW w:w="1667"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lang w:bidi="ar"/>
              </w:rPr>
              <w:t>Email</w:t>
            </w:r>
          </w:p>
        </w:tc>
        <w:tc>
          <w:tcPr>
            <w:tcW w:w="2274"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167"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c>
          <w:tcPr>
            <w:tcW w:w="2046"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lang w:bidi="ar"/>
              </w:rPr>
              <w:t>公司地址</w:t>
            </w:r>
          </w:p>
        </w:tc>
        <w:tc>
          <w:tcPr>
            <w:tcW w:w="5739" w:type="dxa"/>
            <w:gridSpan w:val="3"/>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167"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c>
          <w:tcPr>
            <w:tcW w:w="2046"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lang w:bidi="ar"/>
              </w:rPr>
              <w:t>企业资质</w:t>
            </w:r>
          </w:p>
        </w:tc>
        <w:tc>
          <w:tcPr>
            <w:tcW w:w="5739" w:type="dxa"/>
            <w:gridSpan w:val="3"/>
            <w:tcBorders>
              <w:tl2br w:val="nil"/>
              <w:tr2bl w:val="nil"/>
            </w:tcBorders>
            <w:noWrap w:val="0"/>
            <w:tcMar>
              <w:top w:w="15" w:type="dxa"/>
              <w:left w:w="15" w:type="dxa"/>
              <w:right w:w="15" w:type="dxa"/>
            </w:tcMar>
            <w:vAlign w:val="center"/>
          </w:tcPr>
          <w:p>
            <w:pPr>
              <w:pStyle w:val="3"/>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167" w:type="dxa"/>
            <w:vMerge w:val="restart"/>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服务能力</w:t>
            </w:r>
          </w:p>
        </w:tc>
        <w:tc>
          <w:tcPr>
            <w:tcW w:w="2046"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报价响应</w:t>
            </w:r>
          </w:p>
        </w:tc>
        <w:tc>
          <w:tcPr>
            <w:tcW w:w="5739" w:type="dxa"/>
            <w:gridSpan w:val="3"/>
            <w:tcBorders>
              <w:tl2br w:val="nil"/>
              <w:tr2bl w:val="nil"/>
            </w:tcBorders>
            <w:noWrap w:val="0"/>
            <w:tcMar>
              <w:top w:w="15" w:type="dxa"/>
              <w:left w:w="15" w:type="dxa"/>
              <w:right w:w="15" w:type="dxa"/>
            </w:tcMar>
            <w:vAlign w:val="center"/>
          </w:tcPr>
          <w:p>
            <w:pPr>
              <w:spacing w:line="360" w:lineRule="auto"/>
              <w:ind w:firstLine="480" w:firstLineChars="200"/>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天内可</w:t>
            </w:r>
            <w:r>
              <w:rPr>
                <w:rFonts w:hint="eastAsia" w:ascii="仿宋" w:hAnsi="仿宋" w:eastAsia="仿宋" w:cs="仿宋"/>
                <w:color w:val="000000"/>
                <w:kern w:val="0"/>
                <w:sz w:val="24"/>
                <w:szCs w:val="24"/>
                <w:lang w:bidi="ar"/>
              </w:rPr>
              <w:t>提供报价、账期等相关信息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167"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c>
          <w:tcPr>
            <w:tcW w:w="2046"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主要售后政策</w:t>
            </w:r>
          </w:p>
        </w:tc>
        <w:tc>
          <w:tcPr>
            <w:tcW w:w="5739" w:type="dxa"/>
            <w:gridSpan w:val="3"/>
            <w:tcBorders>
              <w:tl2br w:val="nil"/>
              <w:tr2bl w:val="nil"/>
            </w:tcBorders>
            <w:noWrap w:val="0"/>
            <w:tcMar>
              <w:top w:w="15" w:type="dxa"/>
              <w:left w:w="15" w:type="dxa"/>
              <w:right w:w="15" w:type="dxa"/>
            </w:tcMar>
            <w:vAlign w:val="center"/>
          </w:tcPr>
          <w:p>
            <w:pPr>
              <w:pStyle w:val="3"/>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167"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rPr>
                <w:rFonts w:hint="eastAsia" w:ascii="仿宋" w:hAnsi="仿宋" w:eastAsia="仿宋" w:cs="仿宋"/>
                <w:sz w:val="24"/>
                <w:szCs w:val="24"/>
              </w:rPr>
            </w:pPr>
          </w:p>
        </w:tc>
        <w:tc>
          <w:tcPr>
            <w:tcW w:w="2046"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正常交货周期</w:t>
            </w:r>
          </w:p>
        </w:tc>
        <w:tc>
          <w:tcPr>
            <w:tcW w:w="5739" w:type="dxa"/>
            <w:gridSpan w:val="3"/>
            <w:tcBorders>
              <w:tl2br w:val="nil"/>
              <w:tr2bl w:val="nil"/>
            </w:tcBorders>
            <w:noWrap w:val="0"/>
            <w:tcMar>
              <w:top w:w="15" w:type="dxa"/>
              <w:left w:w="15" w:type="dxa"/>
              <w:right w:w="15" w:type="dxa"/>
            </w:tcMar>
            <w:vAlign w:val="center"/>
          </w:tcPr>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天</w:t>
            </w:r>
          </w:p>
        </w:tc>
      </w:tr>
    </w:tbl>
    <w:p>
      <w:pPr>
        <w:keepNext w:val="0"/>
        <w:keepLines w:val="0"/>
        <w:pageBreakBefore w:val="0"/>
        <w:widowControl w:val="0"/>
        <w:numPr>
          <w:ilvl w:val="0"/>
          <w:numId w:val="0"/>
        </w:numPr>
        <w:kinsoku/>
        <w:overflowPunct/>
        <w:topLinePunct w:val="0"/>
        <w:bidi w:val="0"/>
        <w:spacing w:line="560" w:lineRule="exact"/>
        <w:jc w:val="left"/>
        <w:rPr>
          <w:rFonts w:hint="eastAsia" w:ascii="仿宋" w:hAnsi="仿宋" w:eastAsia="仿宋" w:cs="仿宋"/>
          <w:sz w:val="32"/>
          <w:szCs w:val="32"/>
        </w:rPr>
      </w:pPr>
      <w:r>
        <w:rPr>
          <w:rFonts w:hint="eastAsia" w:ascii="仿宋" w:hAnsi="仿宋" w:eastAsia="仿宋" w:cs="仿宋"/>
          <w:sz w:val="32"/>
          <w:szCs w:val="32"/>
          <w:lang w:val="en-US" w:eastAsia="zh-CN"/>
        </w:rPr>
        <w:t>我司承诺</w:t>
      </w:r>
      <w:r>
        <w:rPr>
          <w:rFonts w:hint="eastAsia" w:ascii="仿宋" w:hAnsi="仿宋" w:eastAsia="仿宋" w:cs="仿宋"/>
          <w:sz w:val="32"/>
          <w:szCs w:val="32"/>
        </w:rPr>
        <w:t>上述</w:t>
      </w:r>
      <w:r>
        <w:rPr>
          <w:rFonts w:hint="eastAsia" w:ascii="仿宋" w:hAnsi="仿宋" w:eastAsia="仿宋" w:cs="仿宋"/>
          <w:sz w:val="32"/>
          <w:szCs w:val="32"/>
          <w:lang w:val="en-US" w:eastAsia="zh-CN"/>
        </w:rPr>
        <w:t>登记信息及入库申请相关资料</w:t>
      </w:r>
      <w:r>
        <w:rPr>
          <w:rFonts w:hint="eastAsia" w:ascii="仿宋" w:hAnsi="仿宋" w:eastAsia="仿宋" w:cs="仿宋"/>
          <w:sz w:val="32"/>
          <w:szCs w:val="32"/>
        </w:rPr>
        <w:t>是真实、</w:t>
      </w:r>
      <w:r>
        <w:rPr>
          <w:rFonts w:hint="eastAsia" w:ascii="仿宋" w:hAnsi="仿宋" w:eastAsia="仿宋" w:cs="仿宋"/>
          <w:sz w:val="32"/>
          <w:szCs w:val="32"/>
          <w:lang w:val="en-US" w:eastAsia="zh-CN"/>
        </w:rPr>
        <w:t>准确</w:t>
      </w:r>
      <w:r>
        <w:rPr>
          <w:rFonts w:hint="eastAsia" w:ascii="仿宋" w:hAnsi="仿宋" w:eastAsia="仿宋" w:cs="仿宋"/>
          <w:sz w:val="32"/>
          <w:szCs w:val="32"/>
        </w:rPr>
        <w:t>的。</w:t>
      </w:r>
    </w:p>
    <w:p>
      <w:pPr>
        <w:keepNext w:val="0"/>
        <w:keepLines w:val="0"/>
        <w:pageBreakBefore w:val="0"/>
        <w:widowControl w:val="0"/>
        <w:numPr>
          <w:ilvl w:val="0"/>
          <w:numId w:val="0"/>
        </w:numPr>
        <w:kinsoku/>
        <w:wordWrap w:val="0"/>
        <w:overflowPunct/>
        <w:topLinePunct w:val="0"/>
        <w:bidi w:val="0"/>
        <w:spacing w:line="560" w:lineRule="exact"/>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公司名称（公章）：</w:t>
      </w:r>
      <w:r>
        <w:rPr>
          <w:rFonts w:hint="eastAsia" w:ascii="仿宋" w:hAnsi="仿宋" w:eastAsia="仿宋" w:cs="仿宋"/>
          <w:sz w:val="32"/>
          <w:szCs w:val="32"/>
          <w:u w:val="single"/>
        </w:rPr>
        <w:t xml:space="preserve">                   </w:t>
      </w:r>
    </w:p>
    <w:p>
      <w:pPr>
        <w:keepNext w:val="0"/>
        <w:keepLines w:val="0"/>
        <w:pageBreakBefore w:val="0"/>
        <w:widowControl w:val="0"/>
        <w:numPr>
          <w:ilvl w:val="0"/>
          <w:numId w:val="0"/>
        </w:numPr>
        <w:kinsoku/>
        <w:wordWrap w:val="0"/>
        <w:overflowPunct/>
        <w:topLinePunct w:val="0"/>
        <w:bidi w:val="0"/>
        <w:spacing w:line="560" w:lineRule="exact"/>
        <w:jc w:val="right"/>
        <w:rPr>
          <w:rFonts w:hint="eastAsia" w:ascii="仿宋" w:hAnsi="仿宋" w:eastAsia="仿宋" w:cs="仿宋"/>
          <w:sz w:val="32"/>
          <w:szCs w:val="32"/>
        </w:rPr>
      </w:pPr>
      <w:r>
        <w:rPr>
          <w:rFonts w:hint="eastAsia" w:ascii="仿宋" w:hAnsi="仿宋" w:eastAsia="仿宋" w:cs="仿宋"/>
          <w:sz w:val="32"/>
          <w:szCs w:val="32"/>
        </w:rPr>
        <w:t>授权代表人职务：</w:t>
      </w:r>
      <w:r>
        <w:rPr>
          <w:rFonts w:hint="eastAsia" w:ascii="仿宋" w:hAnsi="仿宋" w:eastAsia="仿宋" w:cs="仿宋"/>
          <w:sz w:val="32"/>
          <w:szCs w:val="32"/>
          <w:u w:val="single"/>
        </w:rPr>
        <w:t xml:space="preserve">                      </w:t>
      </w:r>
    </w:p>
    <w:p>
      <w:pPr>
        <w:keepNext w:val="0"/>
        <w:keepLines w:val="0"/>
        <w:pageBreakBefore w:val="0"/>
        <w:widowControl w:val="0"/>
        <w:numPr>
          <w:ilvl w:val="0"/>
          <w:numId w:val="0"/>
        </w:numPr>
        <w:kinsoku/>
        <w:wordWrap w:val="0"/>
        <w:overflowPunct/>
        <w:topLinePunct w:val="0"/>
        <w:bidi w:val="0"/>
        <w:spacing w:line="560" w:lineRule="exact"/>
        <w:jc w:val="right"/>
        <w:rPr>
          <w:rFonts w:hint="eastAsia" w:ascii="仿宋" w:hAnsi="仿宋" w:eastAsia="仿宋" w:cs="仿宋"/>
          <w:sz w:val="32"/>
          <w:szCs w:val="32"/>
          <w:u w:val="single"/>
        </w:rPr>
      </w:pPr>
      <w:r>
        <w:rPr>
          <w:rFonts w:hint="eastAsia" w:ascii="仿宋" w:hAnsi="仿宋" w:eastAsia="仿宋" w:cs="仿宋"/>
          <w:sz w:val="32"/>
          <w:szCs w:val="32"/>
        </w:rPr>
        <w:t>授权代表人签字：</w:t>
      </w:r>
      <w:r>
        <w:rPr>
          <w:rFonts w:hint="eastAsia" w:ascii="仿宋" w:hAnsi="仿宋" w:eastAsia="仿宋" w:cs="仿宋"/>
          <w:sz w:val="32"/>
          <w:szCs w:val="32"/>
          <w:u w:val="single"/>
        </w:rPr>
        <w:t xml:space="preserve">                     </w:t>
      </w:r>
    </w:p>
    <w:p>
      <w:pPr>
        <w:keepNext w:val="0"/>
        <w:keepLines w:val="0"/>
        <w:pageBreakBefore w:val="0"/>
        <w:widowControl w:val="0"/>
        <w:numPr>
          <w:ilvl w:val="0"/>
          <w:numId w:val="0"/>
        </w:numPr>
        <w:kinsoku/>
        <w:wordWrap w:val="0"/>
        <w:overflowPunct/>
        <w:topLinePunct w:val="0"/>
        <w:bidi w:val="0"/>
        <w:spacing w:line="560" w:lineRule="exact"/>
        <w:jc w:val="right"/>
        <w:rPr>
          <w:rFonts w:hint="eastAsia" w:ascii="仿宋" w:hAnsi="仿宋" w:eastAsia="仿宋" w:cs="仿宋"/>
          <w:sz w:val="32"/>
          <w:szCs w:val="32"/>
          <w:u w:val="single"/>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p>
    <w:p>
      <w:pPr>
        <w:spacing w:line="360" w:lineRule="auto"/>
        <w:ind w:firstLine="3975" w:firstLineChars="1100"/>
        <w:jc w:val="both"/>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承 诺</w:t>
      </w:r>
      <w:r>
        <w:rPr>
          <w:rFonts w:hint="eastAsia" w:ascii="宋体" w:hAnsi="宋体" w:eastAsia="宋体" w:cs="宋体"/>
          <w:b/>
          <w:bCs/>
          <w:sz w:val="36"/>
          <w:szCs w:val="36"/>
          <w:lang w:val="en-US" w:eastAsia="zh-CN"/>
        </w:rPr>
        <w:tab/>
      </w:r>
      <w:r>
        <w:rPr>
          <w:rFonts w:hint="eastAsia" w:ascii="宋体" w:hAnsi="宋体" w:eastAsia="宋体" w:cs="宋体"/>
          <w:b/>
          <w:bCs/>
          <w:sz w:val="36"/>
          <w:szCs w:val="36"/>
          <w:lang w:val="en-US" w:eastAsia="zh-CN"/>
        </w:rPr>
        <w:t>书</w:t>
      </w:r>
      <w:bookmarkStart w:id="0" w:name="_GoBack"/>
      <w:bookmarkEnd w:id="0"/>
    </w:p>
    <w:p>
      <w:pPr>
        <w:spacing w:line="360" w:lineRule="auto"/>
        <w:jc w:val="both"/>
        <w:rPr>
          <w:rFonts w:hint="eastAsia" w:ascii="仿宋" w:hAnsi="仿宋" w:eastAsia="仿宋" w:cs="仿宋"/>
          <w:sz w:val="24"/>
          <w:szCs w:val="24"/>
          <w:lang w:val="en-US" w:eastAsia="zh-CN"/>
        </w:rPr>
      </w:pP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(单位名称)：</w:t>
      </w:r>
    </w:p>
    <w:p>
      <w:p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我公司自愿申请加入贵公司供应商库，遵守贵公司管理相关规定并承担相应的义务。我公司承诺：</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1.对提供供应商入库信息及所提供的材料的真实性负法律责任；</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2.对库内信息更新不及时承担相应的后果；</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3.我公司保证在供应商库的许可范围内参与贵公司经营活动；</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4.同意贵公司依据管理办法对供应商进行信用评价和维护；</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5.同意由于我公司自身原因违反相关办法被列为贵公司不合格供应商和黑名单；</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6.同意承担由自身原因导致贵公司发生赔偿、行政处罚、纠纷等损失。</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7.不以任何形式向贵公司人员馈赠现金、有价证券及支付凭证、通讯器材、交通工具、非低值文化用品以及其他贵重物品等相关法律法规明确规定为行贿的行为。</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8.所有供应给贵公司的“产品” 和“服务”均符合技术规格书及相关工作说明书中规定的要求和标准，所有的“产品”均达到所在行业的质量和性能标准，符合所有相关的法律法规要求，所有“服务”均以良好且精湛的方式完成，且符合贵公司及贵公司客户的相关要求。</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9.本单位无贵公司及贵公司子公司内部职工、内部职工家人或亲属参股。</w:t>
      </w:r>
    </w:p>
    <w:p>
      <w:pPr>
        <w:rPr>
          <w:rFonts w:hint="eastAsia" w:ascii="仿宋" w:hAnsi="仿宋" w:eastAsia="仿宋" w:cs="仿宋"/>
          <w:sz w:val="24"/>
          <w:szCs w:val="24"/>
          <w:lang w:val="en-US" w:eastAsia="zh-CN"/>
        </w:rPr>
      </w:pPr>
    </w:p>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法定代表人或授权委托人（签字）：</w:t>
      </w:r>
    </w:p>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（单位公章）       年</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月</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 xml:space="preserve"> 日 </w:t>
      </w:r>
      <w:r>
        <w:rPr>
          <w:rFonts w:hint="eastAsia" w:ascii="仿宋" w:hAnsi="仿宋" w:eastAsia="仿宋" w:cs="仿宋"/>
          <w:kern w:val="2"/>
          <w:sz w:val="24"/>
          <w:szCs w:val="24"/>
          <w:lang w:val="en-US" w:eastAsia="zh-CN" w:bidi="ar"/>
        </w:rPr>
        <w:t xml:space="preserve">  </w:t>
      </w:r>
    </w:p>
    <w:p>
      <w:pPr>
        <w:rPr>
          <w:rFonts w:hint="eastAsia" w:ascii="仿宋" w:hAnsi="仿宋" w:eastAsia="仿宋" w:cs="仿宋"/>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537"/>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kinsoku w:val="0"/>
                            <w:wordWrap/>
                            <w:overflowPunct/>
                            <w:topLinePunct w:val="0"/>
                            <w:autoSpaceDE w:val="0"/>
                            <w:autoSpaceDN w:val="0"/>
                            <w:bidi w:val="0"/>
                            <w:adjustRightInd w:val="0"/>
                            <w:snapToGrid w:val="0"/>
                            <w:spacing w:before="0" w:after="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keepNext w:val="0"/>
                      <w:keepLines w:val="0"/>
                      <w:pageBreakBefore w:val="0"/>
                      <w:widowControl/>
                      <w:kinsoku w:val="0"/>
                      <w:wordWrap/>
                      <w:overflowPunct/>
                      <w:topLinePunct w:val="0"/>
                      <w:autoSpaceDE w:val="0"/>
                      <w:autoSpaceDN w:val="0"/>
                      <w:bidi w:val="0"/>
                      <w:adjustRightInd w:val="0"/>
                      <w:snapToGrid w:val="0"/>
                      <w:spacing w:before="0" w:after="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837A3"/>
    <w:multiLevelType w:val="multilevel"/>
    <w:tmpl w:val="EA0837A3"/>
    <w:lvl w:ilvl="0" w:tentative="0">
      <w:start w:val="1"/>
      <w:numFmt w:val="decimal"/>
      <w:lvlText w:val="%1"/>
      <w:lvlJc w:val="left"/>
      <w:pPr>
        <w:tabs>
          <w:tab w:val="left" w:pos="850"/>
        </w:tabs>
        <w:ind w:left="850" w:hanging="425"/>
      </w:pPr>
      <w:rPr>
        <w:rFonts w:hint="eastAsia"/>
      </w:rPr>
    </w:lvl>
    <w:lvl w:ilvl="1" w:tentative="0">
      <w:start w:val="1"/>
      <w:numFmt w:val="decimal"/>
      <w:lvlRestart w:val="0"/>
      <w:suff w:val="space"/>
      <w:lvlText w:val="%2"/>
      <w:lvlJc w:val="left"/>
      <w:pPr>
        <w:ind w:left="0" w:firstLine="0"/>
      </w:pPr>
      <w:rPr>
        <w:rFonts w:hint="eastAsia"/>
      </w:rPr>
    </w:lvl>
    <w:lvl w:ilvl="2" w:tentative="0">
      <w:start w:val="1"/>
      <w:numFmt w:val="decimal"/>
      <w:pStyle w:val="2"/>
      <w:suff w:val="space"/>
      <w:lvlText w:val="%2.%3"/>
      <w:lvlJc w:val="left"/>
      <w:pPr>
        <w:tabs>
          <w:tab w:val="left" w:pos="0"/>
        </w:tabs>
        <w:ind w:left="0" w:firstLine="0"/>
      </w:pPr>
      <w:rPr>
        <w:rFonts w:hint="default"/>
        <w:b w:val="0"/>
      </w:rPr>
    </w:lvl>
    <w:lvl w:ilvl="3" w:tentative="0">
      <w:start w:val="1"/>
      <w:numFmt w:val="decimal"/>
      <w:suff w:val="space"/>
      <w:lvlText w:val="%2.%3.%4"/>
      <w:lvlJc w:val="left"/>
      <w:pPr>
        <w:ind w:left="142" w:firstLine="0"/>
      </w:pPr>
      <w:rPr>
        <w:rFonts w:hint="eastAsia"/>
      </w:rPr>
    </w:lvl>
    <w:lvl w:ilvl="4" w:tentative="0">
      <w:start w:val="1"/>
      <w:numFmt w:val="decimal"/>
      <w:lvlText w:val="%1.%2.%3.%4.%5"/>
      <w:lvlJc w:val="left"/>
      <w:pPr>
        <w:tabs>
          <w:tab w:val="left" w:pos="3926"/>
        </w:tabs>
        <w:ind w:left="2976" w:hanging="850"/>
      </w:pPr>
      <w:rPr>
        <w:rFonts w:hint="eastAsia"/>
      </w:rPr>
    </w:lvl>
    <w:lvl w:ilvl="5" w:tentative="0">
      <w:start w:val="1"/>
      <w:numFmt w:val="decimal"/>
      <w:lvlText w:val="%1.%2.%3.%4.%5.%6"/>
      <w:lvlJc w:val="left"/>
      <w:pPr>
        <w:tabs>
          <w:tab w:val="left" w:pos="4711"/>
        </w:tabs>
        <w:ind w:left="3685" w:hanging="1134"/>
      </w:pPr>
      <w:rPr>
        <w:rFonts w:hint="eastAsia"/>
      </w:rPr>
    </w:lvl>
    <w:lvl w:ilvl="6" w:tentative="0">
      <w:start w:val="1"/>
      <w:numFmt w:val="decimal"/>
      <w:lvlText w:val="%1.%2.%3.%4.%5.%6.%7"/>
      <w:lvlJc w:val="left"/>
      <w:pPr>
        <w:tabs>
          <w:tab w:val="left" w:pos="5496"/>
        </w:tabs>
        <w:ind w:left="4252" w:hanging="1276"/>
      </w:pPr>
      <w:rPr>
        <w:rFonts w:hint="eastAsia"/>
      </w:rPr>
    </w:lvl>
    <w:lvl w:ilvl="7" w:tentative="0">
      <w:start w:val="1"/>
      <w:numFmt w:val="decimal"/>
      <w:lvlText w:val="%1.%2.%3.%4.%5.%6.%7.%8"/>
      <w:lvlJc w:val="left"/>
      <w:pPr>
        <w:tabs>
          <w:tab w:val="left" w:pos="6281"/>
        </w:tabs>
        <w:ind w:left="4819" w:hanging="1418"/>
      </w:pPr>
      <w:rPr>
        <w:rFonts w:hint="eastAsia"/>
      </w:rPr>
    </w:lvl>
    <w:lvl w:ilvl="8" w:tentative="0">
      <w:start w:val="1"/>
      <w:numFmt w:val="decimal"/>
      <w:lvlText w:val="%1.%2.%3.%4.%5.%6.%7.%8.%9"/>
      <w:lvlJc w:val="left"/>
      <w:pPr>
        <w:tabs>
          <w:tab w:val="left" w:pos="7067"/>
        </w:tabs>
        <w:ind w:left="552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YmQwN2E0NWEzYzNiOWI2MDhkZGI5YzIyZDA5MjMifQ=="/>
  </w:docVars>
  <w:rsids>
    <w:rsidRoot w:val="2FC566A3"/>
    <w:rsid w:val="2FC566A3"/>
    <w:rsid w:val="3C5C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numPr>
        <w:ilvl w:val="2"/>
        <w:numId w:val="1"/>
      </w:numPr>
      <w:tabs>
        <w:tab w:val="left" w:pos="850"/>
      </w:tabs>
      <w:spacing w:before="20" w:line="360" w:lineRule="auto"/>
      <w:outlineLvl w:val="2"/>
    </w:pPr>
    <w:rPr>
      <w:rFonts w:ascii="Calibri" w:hAnsi="Calibri" w:eastAsia="黑体"/>
      <w:b/>
      <w:bCs/>
      <w:sz w:val="21"/>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Calibri" w:hAnsi="Calibri"/>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763</Words>
  <Characters>776</Characters>
  <Lines>0</Lines>
  <Paragraphs>0</Paragraphs>
  <TotalTime>1</TotalTime>
  <ScaleCrop>false</ScaleCrop>
  <LinksUpToDate>false</LinksUpToDate>
  <CharactersWithSpaces>956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2023-08-09T01:53:00Z</dcterms:created>
  <dc:creator>Nicole</dc:creator>
  <cp:lastModifiedBy>Nicole</cp:lastModifiedBy>
  <dcterms:modified xsi:type="dcterms:W3CDTF">2023-08-09T01:58:39Z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88F94ED53B0D47D69656CB33857DD5D9_11</vt:lpwstr>
  </property>
</Properties>
</file>